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3" w:hanging="0"/>
        <w:rPr>
          <w:rFonts w:ascii="Times New Roman" w:hAnsi="Times New Roman" w:cs="Mangal"/>
          <w:sz w:val="24"/>
          <w:szCs w:val="24"/>
          <w:lang w:val="uk-UA" w:bidi="hi-IN"/>
        </w:rPr>
      </w:pPr>
      <w:r>
        <w:rPr>
          <w:rFonts w:ascii="Times New Roman" w:hAnsi="Times New Roman"/>
          <w:sz w:val="24"/>
          <w:szCs w:val="24"/>
          <w:lang w:val="uk-UA" w:bidi="hi-IN"/>
        </w:rPr>
        <w:t>Додаток 3</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до договору про постачання</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електричної енергії </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постачальником </w:t>
      </w:r>
    </w:p>
    <w:p>
      <w:pPr>
        <w:pStyle w:val="Normal"/>
        <w:tabs>
          <w:tab w:val="clear" w:pos="708"/>
          <w:tab w:val="left" w:pos="141" w:leader="none"/>
        </w:tabs>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універсальних послуг</w:t>
      </w:r>
    </w:p>
    <w:p>
      <w:pPr>
        <w:pStyle w:val="Normal"/>
        <w:tabs>
          <w:tab w:val="clear" w:pos="708"/>
          <w:tab w:val="left" w:pos="141" w:leader="none"/>
        </w:tabs>
        <w:spacing w:lineRule="auto" w:line="240" w:before="0" w:after="0"/>
        <w:ind w:left="5663" w:hanging="0"/>
        <w:rPr>
          <w:rFonts w:ascii="Times New Roman" w:hAnsi="Times New Roman" w:cs="Mangal"/>
          <w:sz w:val="24"/>
          <w:szCs w:val="24"/>
          <w:lang w:bidi="hi-IN"/>
        </w:rPr>
      </w:pPr>
      <w:r>
        <w:rPr>
          <w:rFonts w:cs="Mangal" w:ascii="Times New Roman" w:hAnsi="Times New Roman"/>
          <w:sz w:val="24"/>
          <w:szCs w:val="24"/>
          <w:lang w:bidi="hi-IN"/>
        </w:rPr>
      </w:r>
    </w:p>
    <w:p>
      <w:pPr>
        <w:pStyle w:val="Normal"/>
        <w:tabs>
          <w:tab w:val="clear" w:pos="708"/>
          <w:tab w:val="left" w:pos="141" w:leader="none"/>
        </w:tabs>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r>
    </w:p>
    <w:p>
      <w:pPr>
        <w:pStyle w:val="NormalWeb"/>
        <w:tabs>
          <w:tab w:val="clear" w:pos="708"/>
          <w:tab w:val="left" w:pos="9353" w:leader="none"/>
        </w:tabs>
        <w:spacing w:beforeAutospacing="0" w:before="0" w:afterAutospacing="0" w:after="0"/>
        <w:jc w:val="center"/>
        <w:rPr>
          <w:rFonts w:cs="Mangal"/>
          <w:b/>
          <w:b/>
          <w:lang w:val="uk-UA"/>
        </w:rPr>
      </w:pPr>
      <w:r>
        <w:rPr>
          <w:rFonts w:cs="Mangal"/>
          <w:b/>
          <w:lang w:val="uk-UA"/>
        </w:rPr>
        <w:t>Комерційна пропозиція «Універсальна бюджет»</w:t>
      </w:r>
    </w:p>
    <w:p>
      <w:pPr>
        <w:pStyle w:val="NormalWeb"/>
        <w:tabs>
          <w:tab w:val="clear" w:pos="708"/>
          <w:tab w:val="left" w:pos="9353" w:leader="none"/>
        </w:tabs>
        <w:spacing w:beforeAutospacing="0" w:before="0" w:afterAutospacing="0" w:after="0"/>
        <w:jc w:val="center"/>
        <w:rPr>
          <w:rFonts w:cs="Mangal"/>
          <w:b/>
          <w:b/>
          <w:lang w:val="uk-UA"/>
        </w:rPr>
      </w:pPr>
      <w:r>
        <w:rPr>
          <w:rFonts w:cs="Mangal"/>
          <w:b/>
          <w:lang w:val="uk-UA"/>
        </w:rPr>
        <w:t>про постачання електричної енергії постачальником універсальних послуг ТОВ «Запоріжжяелектропостачання» бюджетним установам</w:t>
      </w:r>
    </w:p>
    <w:p>
      <w:pPr>
        <w:pStyle w:val="NormalWeb"/>
        <w:tabs>
          <w:tab w:val="clear" w:pos="708"/>
          <w:tab w:val="left" w:pos="9353" w:leader="none"/>
        </w:tabs>
        <w:spacing w:beforeAutospacing="0" w:before="0" w:afterAutospacing="0" w:after="0"/>
        <w:jc w:val="center"/>
        <w:rPr/>
      </w:pPr>
      <w:r>
        <w:rPr>
          <w:rFonts w:cs="Mangal"/>
          <w:b/>
          <w:lang w:val="uk-UA"/>
        </w:rPr>
        <w:t>на період з 01.0</w:t>
      </w:r>
      <w:r>
        <w:rPr>
          <w:rFonts w:cs="Mangal"/>
          <w:b/>
          <w:lang w:val="uk-UA"/>
        </w:rPr>
        <w:t>1</w:t>
      </w:r>
      <w:r>
        <w:rPr>
          <w:rFonts w:cs="Mangal"/>
          <w:b/>
          <w:lang w:val="uk-UA"/>
        </w:rPr>
        <w:t>.2020 по 31.12.2020</w:t>
      </w:r>
      <w:bookmarkStart w:id="0" w:name="_GoBack"/>
      <w:bookmarkEnd w:id="0"/>
    </w:p>
    <w:tbl>
      <w:tblPr>
        <w:tblW w:w="9379" w:type="dxa"/>
        <w:jc w:val="left"/>
        <w:tblInd w:w="36" w:type="dxa"/>
        <w:tblCellMar>
          <w:top w:w="0" w:type="dxa"/>
          <w:left w:w="36" w:type="dxa"/>
          <w:bottom w:w="0" w:type="dxa"/>
          <w:right w:w="36" w:type="dxa"/>
        </w:tblCellMar>
        <w:tblLook w:val="0000" w:noVBand="0" w:noHBand="0" w:lastColumn="0" w:firstColumn="0" w:lastRow="0" w:firstRow="0"/>
      </w:tblPr>
      <w:tblGrid>
        <w:gridCol w:w="2374"/>
        <w:gridCol w:w="7004"/>
      </w:tblGrid>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 Критерії, яким має відповідати особа, що обирає дану комерційну пропозицію</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заявник відповідно до чинного законодавства України має право на отримання універсальної послуги;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заявник є бюджетною установою (орган державної влади, орган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pPr>
              <w:pStyle w:val="NoSpacing"/>
              <w:numPr>
                <w:ilvl w:val="0"/>
                <w:numId w:val="1"/>
              </w:numPr>
              <w:ind w:left="714" w:hanging="357"/>
              <w:jc w:val="both"/>
              <w:rPr>
                <w:rFonts w:ascii="Times New Roman" w:hAnsi="Times New Roman"/>
                <w:sz w:val="24"/>
                <w:szCs w:val="24"/>
                <w:lang w:val="ru-RU"/>
              </w:rPr>
            </w:pPr>
            <w:r>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2. Територія надання послуги</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beforeAutospacing="0" w:before="0" w:afterAutospacing="0" w:after="0"/>
              <w:ind w:firstLine="335"/>
              <w:jc w:val="both"/>
              <w:rPr>
                <w:rFonts w:cs="Mangal"/>
                <w:lang w:val="uk-UA"/>
              </w:rPr>
            </w:pPr>
            <w:r>
              <w:rPr>
                <w:rFonts w:cs="Mangal"/>
                <w:lang w:val="uk-UA"/>
              </w:rPr>
              <w:t xml:space="preserve">Послуга надається в межах Запорізької області </w:t>
            </w:r>
            <w:r>
              <w:rPr>
                <w:rFonts w:cs="Mangal"/>
              </w:rPr>
              <w:t xml:space="preserve">та </w:t>
            </w:r>
            <w:r>
              <w:rPr>
                <w:rFonts w:cs="Mangal"/>
                <w:lang w:val="uk-UA"/>
              </w:rPr>
              <w:t xml:space="preserve">електричних мереж операторів системи розподілу: </w:t>
            </w:r>
          </w:p>
          <w:p>
            <w:pPr>
              <w:pStyle w:val="NormalWeb"/>
              <w:numPr>
                <w:ilvl w:val="0"/>
                <w:numId w:val="2"/>
              </w:numPr>
              <w:spacing w:beforeAutospacing="0" w:before="0" w:afterAutospacing="0" w:after="0"/>
              <w:jc w:val="both"/>
              <w:rPr>
                <w:rFonts w:cs="Mangal"/>
              </w:rPr>
            </w:pPr>
            <w:r>
              <w:rPr>
                <w:rFonts w:cs="Mangal"/>
                <w:lang w:val="uk-UA"/>
              </w:rPr>
              <w:t xml:space="preserve">ПАТ «Запоріжжяобленерго»; </w:t>
            </w:r>
          </w:p>
          <w:p>
            <w:pPr>
              <w:pStyle w:val="NormalWeb"/>
              <w:numPr>
                <w:ilvl w:val="0"/>
                <w:numId w:val="2"/>
              </w:numPr>
              <w:spacing w:beforeAutospacing="0" w:before="0" w:afterAutospacing="0" w:after="0"/>
              <w:jc w:val="both"/>
              <w:rPr>
                <w:rFonts w:cs="Mangal"/>
              </w:rPr>
            </w:pPr>
            <w:r>
              <w:rPr>
                <w:rFonts w:cs="Mangal"/>
                <w:lang w:val="uk-UA"/>
              </w:rPr>
              <w:t>АТ «Укрзалізниця».</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3. Ціна</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www.zpep.com.ua.</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4. Спосіб та термін оплати</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xml:space="preserve">Розрахунковий період для обсягу спожитої електричної енергії становить один місяць, а саме: з 01 числа розрахункового місяця по останній день розрахункового місяця. </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Платежі за спожиту електричну енергію здійснюються у наступному порядку:</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- 1 платіж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  та рахунку за спожиту електричну енергію;</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- 2 платіж за електричну енергію у розмірі різниці суми першого платежу та вартості спожитої в розрахунковому періоді електричної енергії в строк не більше 5 робочих днів після закінчення розрахункового періоду на підставі акту прийняття-передавання товарної продукції та рахунку за спожиту електричну енергію.</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Підставою для формування Постачальником рахунку на оплату спожитої електричної енергії за цим договором є підписаний сторонами акт прийняття-передавання товарної продукції.</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Оплата здійснюється на поточний рахунок із спеціальним режимом використання Постачальника (далі - спецрахунок), зазначений у Договорі або розрахункових документах.</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Оплата може бути здійснена через:</w:t>
            </w:r>
          </w:p>
          <w:p>
            <w:pPr>
              <w:pStyle w:val="ListParagraph"/>
              <w:numPr>
                <w:ilvl w:val="0"/>
                <w:numId w:val="4"/>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банківську платіжну систему; </w:t>
            </w:r>
          </w:p>
          <w:p>
            <w:pPr>
              <w:pStyle w:val="ListParagraph"/>
              <w:numPr>
                <w:ilvl w:val="0"/>
                <w:numId w:val="4"/>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особовий кабінет на сайті Постачальника; </w:t>
            </w:r>
          </w:p>
          <w:p>
            <w:pPr>
              <w:pStyle w:val="ListParagraph"/>
              <w:numPr>
                <w:ilvl w:val="0"/>
                <w:numId w:val="4"/>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поштовий переказ; </w:t>
            </w:r>
          </w:p>
          <w:p>
            <w:pPr>
              <w:pStyle w:val="ListParagraph"/>
              <w:numPr>
                <w:ilvl w:val="0"/>
                <w:numId w:val="4"/>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 інший не заборонений чинним законодавством спосіб.</w:t>
            </w:r>
          </w:p>
          <w:p>
            <w:pPr>
              <w:pStyle w:val="Normal"/>
              <w:spacing w:lineRule="auto" w:line="240" w:before="0" w:after="0"/>
              <w:ind w:firstLine="371"/>
              <w:jc w:val="both"/>
              <w:rPr>
                <w:rFonts w:ascii="Times New Roman" w:hAnsi="Times New Roman" w:cs="Mangal"/>
                <w:sz w:val="24"/>
                <w:szCs w:val="24"/>
                <w:lang w:val="uk-UA" w:bidi="hi-IN"/>
              </w:rPr>
            </w:pPr>
            <w:r>
              <w:rPr>
                <w:rFonts w:cs="Mangal" w:ascii="Times New Roman" w:hAnsi="Times New Roman"/>
                <w:sz w:val="24"/>
                <w:szCs w:val="24"/>
                <w:lang w:val="uk-UA" w:bidi="hi-IN"/>
              </w:rPr>
              <w:t>Датою оплати є дата надходження коштів на спецрахунок Постачальника.</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5. Встановлення замовлених обсягів постачання електричної енергії</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за 2 робочих дні до 15 числа місяця що передує розрахунковому.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нарочно за формою «Зразок звернення Споживача щодо коригування обсягів постачання».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6. Оплата послуг з розподілу електричної енергії</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 xml:space="preserve">Споживач здійснює оплату послуг з розподілу електричної енергії через Постачальника в складі ціни універсальної послуги. </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7. Розмір пені за порушення строку оплати та/або штраф</w:t>
            </w:r>
          </w:p>
          <w:p>
            <w:pPr>
              <w:pStyle w:val="NoSpacing"/>
              <w:jc w:val="center"/>
              <w:rPr>
                <w:rFonts w:ascii="Times New Roman" w:hAnsi="Times New Roman"/>
                <w:sz w:val="24"/>
                <w:szCs w:val="24"/>
                <w:lang w:val="ru-RU"/>
              </w:rPr>
            </w:pPr>
            <w:r>
              <w:rPr>
                <w:rFonts w:ascii="Times New Roman" w:hAnsi="Times New Roman"/>
                <w:sz w:val="24"/>
                <w:szCs w:val="24"/>
                <w:lang w:val="ru-RU"/>
              </w:rPr>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pPr>
              <w:pStyle w:val="Normal"/>
              <w:spacing w:lineRule="auto" w:line="240" w:before="0" w:after="0"/>
              <w:ind w:firstLine="371"/>
              <w:jc w:val="both"/>
              <w:rPr>
                <w:rFonts w:ascii="Times New Roman" w:hAnsi="Times New Roman" w:cs="Mangal"/>
                <w:sz w:val="24"/>
                <w:szCs w:val="24"/>
                <w:lang w:val="uk-UA" w:bidi="hi-IN"/>
              </w:rPr>
            </w:pPr>
            <w:r>
              <w:rPr>
                <w:rFonts w:cs="Mangal" w:ascii="Times New Roman" w:hAnsi="Times New Roman"/>
                <w:sz w:val="24"/>
                <w:szCs w:val="24"/>
                <w:lang w:val="uk-UA" w:bidi="hi-IN"/>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8. Штраф за дострокове припинення дії договору</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Не застосовується.</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 xml:space="preserve">9. Можливість надання пільг, субсидій </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Пільги, субсидії надаються у порядку та розмірі, визначеному чинним законодавством України</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11. Термін дії договору</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Style20"/>
              <w:shd w:val="clear" w:color="auto" w:fill="auto"/>
              <w:tabs>
                <w:tab w:val="clear" w:pos="708"/>
                <w:tab w:val="left" w:pos="1331" w:leader="none"/>
              </w:tabs>
              <w:spacing w:lineRule="auto" w:line="240" w:before="0" w:after="200"/>
              <w:ind w:left="40" w:right="23" w:hanging="0"/>
              <w:rPr/>
            </w:pPr>
            <w:r>
              <w:rPr>
                <w:rFonts w:ascii="Times New Roman" w:hAnsi="Times New Roman"/>
                <w:lang w:val="uk-UA" w:eastAsia="en-US"/>
              </w:rPr>
              <w:t xml:space="preserve">           </w:t>
            </w:r>
            <w:r>
              <w:rPr>
                <w:rFonts w:ascii="Times New Roman" w:hAnsi="Times New Roman"/>
                <w:sz w:val="24"/>
                <w:szCs w:val="24"/>
                <w:lang w:val="uk-UA" w:eastAsia="en-US"/>
              </w:rPr>
              <w:t>Договір набуває юридичної сили з моменту його підписання Сторонами, діє до 31.12.2020.</w:t>
            </w:r>
            <w:r>
              <w:rPr>
                <w:rFonts w:ascii="Times New Roman" w:hAnsi="Times New Roman"/>
                <w:sz w:val="24"/>
                <w:szCs w:val="24"/>
                <w:lang w:val="uk-UA" w:eastAsia="uk-UA"/>
              </w:rPr>
              <w:t xml:space="preserve">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w:t>
            </w:r>
            <w:r>
              <w:rPr>
                <w:rFonts w:ascii="Times New Roman" w:hAnsi="Times New Roman"/>
                <w:sz w:val="24"/>
                <w:szCs w:val="24"/>
                <w:lang w:val="uk-UA" w:eastAsia="uk-UA"/>
              </w:rPr>
              <w:t>1</w:t>
            </w:r>
            <w:r>
              <w:rPr>
                <w:rFonts w:ascii="Times New Roman" w:hAnsi="Times New Roman"/>
                <w:sz w:val="24"/>
                <w:szCs w:val="24"/>
                <w:lang w:val="uk-UA" w:eastAsia="uk-UA"/>
              </w:rPr>
              <w:t>.2020 року.</w:t>
            </w:r>
          </w:p>
          <w:p>
            <w:pPr>
              <w:pStyle w:val="Style20"/>
              <w:shd w:val="clear" w:color="auto" w:fill="auto"/>
              <w:spacing w:lineRule="auto" w:line="240" w:before="0" w:after="200"/>
              <w:ind w:firstLine="724"/>
              <w:rPr>
                <w:rFonts w:ascii="Times New Roman" w:hAnsi="Times New Roman"/>
                <w:lang w:val="uk-UA" w:eastAsia="uk-UA"/>
              </w:rPr>
            </w:pPr>
            <w:r>
              <w:rPr>
                <w:rFonts w:ascii="Times New Roman" w:hAnsi="Times New Roman"/>
                <w:sz w:val="24"/>
                <w:szCs w:val="24"/>
                <w:lang w:val="uk-UA" w:eastAsia="uk-UA"/>
              </w:rPr>
              <w:t>Згідно ст.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Spacing"/>
              <w:spacing w:lineRule="auto" w:line="240"/>
              <w:ind w:firstLine="352"/>
              <w:jc w:val="both"/>
              <w:rPr/>
            </w:pPr>
            <w:r>
              <w:rPr>
                <w:rFonts w:ascii="Times New Roman" w:hAnsi="Times New Roman"/>
                <w:sz w:val="24"/>
                <w:szCs w:val="24"/>
              </w:rPr>
              <w:t xml:space="preserve">Договір може бути розірвано за ініціативою будь-якої зі Сторін у порядку, визначеному законодавством України.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Договір, в частині постачання електричної енергії, діє виключно у межах строку дії договору споживача про надання послуг з розподілу, враховуючи розповсюдження його дії на окремі точки розподілу (за наявності декількох точок розподілу).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12. Можливість постачання захищеним споживачам</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Spacing"/>
              <w:ind w:firstLine="352"/>
              <w:jc w:val="both"/>
              <w:rPr>
                <w:rFonts w:ascii="Times New Roman" w:hAnsi="Times New Roman"/>
                <w:sz w:val="24"/>
                <w:szCs w:val="24"/>
                <w:lang w:val="ru-RU"/>
              </w:rPr>
            </w:pPr>
            <w:r>
              <w:rPr>
                <w:rFonts w:ascii="Times New Roman" w:hAnsi="Times New Roman"/>
                <w:sz w:val="24"/>
                <w:szCs w:val="24"/>
              </w:rPr>
              <w:t>Постачання електричної енергії захищеним споживачам не здійснюється.</w:t>
            </w:r>
          </w:p>
        </w:tc>
      </w:tr>
      <w:tr>
        <w:trPr/>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13. Інші умови</w:t>
            </w:r>
          </w:p>
        </w:tc>
        <w:tc>
          <w:tcPr>
            <w:tcW w:w="7004" w:type="dxa"/>
            <w:tcBorders>
              <w:top w:val="single" w:sz="4" w:space="0" w:color="000000"/>
              <w:left w:val="single" w:sz="4" w:space="0" w:color="000000"/>
              <w:bottom w:val="single" w:sz="4" w:space="0" w:color="000000"/>
              <w:right w:val="single" w:sz="4" w:space="0" w:color="000000"/>
            </w:tcBorders>
            <w:shd w:fill="auto" w:val="clear"/>
          </w:tcPr>
          <w:p>
            <w:pPr>
              <w:pStyle w:val="NormalWeb"/>
              <w:spacing w:lineRule="auto" w:line="240" w:beforeAutospacing="0" w:before="0" w:afterAutospacing="0" w:after="120"/>
              <w:jc w:val="both"/>
              <w:rPr>
                <w:lang w:val="uk-UA"/>
              </w:rPr>
            </w:pPr>
            <w:r>
              <w:rPr>
                <w:lang w:val="uk-UA"/>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pPr>
              <w:pStyle w:val="Normal"/>
              <w:spacing w:lineRule="auto" w:line="240" w:before="0" w:after="120"/>
              <w:ind w:firstLine="287"/>
              <w:contextualSpacing/>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Згідно п.7.12 ПРРЕЕ 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ПРРЕЕ порядку.</w:t>
            </w:r>
          </w:p>
          <w:p>
            <w:pPr>
              <w:pStyle w:val="NormalWeb"/>
              <w:spacing w:lineRule="auto" w:line="240" w:beforeAutospacing="0" w:before="0" w:afterAutospacing="0" w:after="0"/>
              <w:ind w:firstLine="352"/>
              <w:jc w:val="both"/>
              <w:rPr>
                <w:rFonts w:cs="Mangal"/>
                <w:lang w:val="uk-UA"/>
              </w:rPr>
            </w:pPr>
            <w:r>
              <w:rPr>
                <w:rFonts w:cs="Mangal"/>
                <w:lang w:val="uk-UA"/>
              </w:rPr>
              <w:t xml:space="preserve">Постачальник інформує споживача, з яким укладено Договір, про будь-яку зміну в умовах Договору шляхом направлення відповідної інформації: </w:t>
            </w:r>
          </w:p>
          <w:p>
            <w:pPr>
              <w:pStyle w:val="NormalWeb"/>
              <w:numPr>
                <w:ilvl w:val="0"/>
                <w:numId w:val="3"/>
              </w:numPr>
              <w:spacing w:lineRule="auto" w:line="240" w:beforeAutospacing="0" w:before="0" w:afterAutospacing="0" w:after="0"/>
              <w:jc w:val="both"/>
              <w:rPr>
                <w:rFonts w:cs="Mangal"/>
              </w:rPr>
            </w:pPr>
            <w:r>
              <w:rPr>
                <w:rFonts w:cs="Mangal"/>
                <w:lang w:val="uk-UA"/>
              </w:rPr>
              <w:t>через особовий кабінет на своєму офіційному сайті у мережі Інтернет,</w:t>
            </w:r>
          </w:p>
          <w:p>
            <w:pPr>
              <w:pStyle w:val="NormalWeb"/>
              <w:numPr>
                <w:ilvl w:val="0"/>
                <w:numId w:val="3"/>
              </w:numPr>
              <w:spacing w:lineRule="auto" w:line="240" w:beforeAutospacing="0" w:before="0" w:afterAutospacing="0" w:after="0"/>
              <w:jc w:val="both"/>
              <w:rPr>
                <w:rFonts w:cs="Mangal"/>
              </w:rPr>
            </w:pPr>
            <w:r>
              <w:rPr>
                <w:rFonts w:cs="Mangal"/>
                <w:lang w:val="uk-UA"/>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 xml:space="preserve">СМС-повідомленням на номер, зазначений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в центрах обслуговування споживачів тощо.</w:t>
            </w:r>
          </w:p>
          <w:p>
            <w:pPr>
              <w:pStyle w:val="NormalWeb"/>
              <w:spacing w:lineRule="auto" w:line="240" w:beforeAutospacing="0" w:before="0" w:afterAutospacing="0" w:after="0"/>
              <w:ind w:firstLine="493"/>
              <w:jc w:val="both"/>
              <w:rPr>
                <w:rFonts w:cs="Mangal"/>
                <w:lang w:val="uk-UA"/>
              </w:rPr>
            </w:pPr>
            <w:r>
              <w:rPr>
                <w:rFonts w:cs="Mangal"/>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pPr>
              <w:pStyle w:val="NormalWeb"/>
              <w:numPr>
                <w:ilvl w:val="0"/>
                <w:numId w:val="3"/>
              </w:numPr>
              <w:spacing w:lineRule="auto" w:line="240" w:beforeAutospacing="0" w:before="0" w:afterAutospacing="0" w:after="0"/>
              <w:jc w:val="both"/>
              <w:rPr>
                <w:rFonts w:cs="Mangal"/>
              </w:rPr>
            </w:pPr>
            <w:r>
              <w:rPr>
                <w:rFonts w:cs="Mangal"/>
                <w:lang w:val="uk-UA"/>
              </w:rPr>
              <w:t>через особовий кабінет на своєму офіційному сайті у мережі Інтернет,</w:t>
            </w:r>
          </w:p>
          <w:p>
            <w:pPr>
              <w:pStyle w:val="NormalWeb"/>
              <w:numPr>
                <w:ilvl w:val="0"/>
                <w:numId w:val="3"/>
              </w:numPr>
              <w:spacing w:lineRule="auto" w:line="240" w:beforeAutospacing="0" w:before="0" w:afterAutospacing="0" w:after="0"/>
              <w:jc w:val="both"/>
              <w:rPr>
                <w:rFonts w:cs="Mangal"/>
              </w:rPr>
            </w:pPr>
            <w:r>
              <w:rPr>
                <w:rFonts w:cs="Mangal"/>
                <w:lang w:val="uk-UA"/>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 xml:space="preserve">СМС-повідомленням на номер, зазначений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в центрах обслуговування споживачів тощо.</w:t>
            </w:r>
          </w:p>
          <w:p>
            <w:pPr>
              <w:pStyle w:val="NormalWeb"/>
              <w:tabs>
                <w:tab w:val="clear" w:pos="708"/>
                <w:tab w:val="left" w:pos="851" w:leader="none"/>
              </w:tabs>
              <w:spacing w:lineRule="auto" w:line="240" w:beforeAutospacing="0" w:before="0" w:afterAutospacing="0" w:after="0"/>
              <w:ind w:firstLine="567"/>
              <w:jc w:val="both"/>
              <w:rPr>
                <w:lang w:val="uk-UA"/>
              </w:rPr>
            </w:pPr>
            <w:r>
              <w:rPr>
                <w:lang w:val="uk-UA"/>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pPr>
              <w:pStyle w:val="NormalWeb"/>
              <w:tabs>
                <w:tab w:val="clear" w:pos="708"/>
                <w:tab w:val="left" w:pos="851" w:leader="none"/>
              </w:tabs>
              <w:spacing w:lineRule="auto" w:line="240" w:beforeAutospacing="0" w:before="0" w:afterAutospacing="0" w:after="0"/>
              <w:ind w:firstLine="567"/>
              <w:jc w:val="both"/>
              <w:rPr>
                <w:lang w:val="uk-UA"/>
              </w:rPr>
            </w:pPr>
            <w:r>
              <w:rPr>
                <w:lang w:val="uk-UA"/>
              </w:rPr>
              <w:t>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pPr>
              <w:pStyle w:val="NormalWeb"/>
              <w:tabs>
                <w:tab w:val="clear" w:pos="708"/>
                <w:tab w:val="left" w:pos="851" w:leader="none"/>
              </w:tabs>
              <w:spacing w:lineRule="auto" w:line="240" w:beforeAutospacing="0" w:before="0" w:afterAutospacing="0" w:after="0"/>
              <w:ind w:firstLine="28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pPr>
              <w:pStyle w:val="NormalWeb"/>
              <w:tabs>
                <w:tab w:val="clear" w:pos="708"/>
                <w:tab w:val="left" w:pos="851" w:leader="none"/>
              </w:tabs>
              <w:spacing w:lineRule="auto" w:line="240" w:beforeAutospacing="0" w:before="0" w:afterAutospacing="0" w:after="0"/>
              <w:ind w:firstLine="280"/>
              <w:jc w:val="both"/>
              <w:rPr>
                <w:lang w:val="uk-UA"/>
              </w:rPr>
            </w:pPr>
            <w:r>
              <w:rPr>
                <w:lang w:val="uk-UA"/>
              </w:rPr>
              <w:t>Для виконання ст. 201.10 НКУ, під час подання заяві-приєднання Споживач повинен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pPr>
              <w:pStyle w:val="NormalWeb"/>
              <w:spacing w:lineRule="auto" w:line="240" w:beforeAutospacing="0" w:before="0" w:afterAutospacing="0" w:after="0"/>
              <w:ind w:firstLine="280"/>
              <w:jc w:val="both"/>
              <w:rPr>
                <w:rFonts w:cs="Mangal"/>
                <w:lang w:val="uk-UA"/>
              </w:rPr>
            </w:pPr>
            <w:r>
              <w:rPr>
                <w:lang w:val="uk-UA"/>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 зобов’язується компенсувати Постачальнику збитки, заподіяні таким неповідомленням або несвоєчасним повідомленням.</w:t>
            </w:r>
          </w:p>
        </w:tc>
      </w:tr>
    </w:tbl>
    <w:p>
      <w:pPr>
        <w:pStyle w:val="Normal"/>
        <w:spacing w:lineRule="auto" w:line="240" w:before="0" w:after="0"/>
        <w:rPr>
          <w:rFonts w:ascii="Times New Roman" w:hAnsi="Times New Roman" w:cs="Mangal"/>
          <w:sz w:val="24"/>
          <w:szCs w:val="24"/>
          <w:lang w:val="uk-UA" w:bidi="hi-IN"/>
        </w:rPr>
      </w:pPr>
      <w:r>
        <w:rPr>
          <w:rFonts w:cs="Mangal" w:ascii="Times New Roman" w:hAnsi="Times New Roman"/>
          <w:sz w:val="24"/>
          <w:szCs w:val="24"/>
          <w:lang w:val="uk-UA" w:bidi="hi-IN"/>
        </w:rPr>
      </w:r>
    </w:p>
    <w:tbl>
      <w:tblPr>
        <w:tblpPr w:bottomFromText="0" w:horzAnchor="margin" w:leftFromText="180" w:rightFromText="180" w:tblpX="0" w:tblpY="143" w:topFromText="0" w:vertAnchor="text"/>
        <w:tblW w:w="9539" w:type="dxa"/>
        <w:jc w:val="left"/>
        <w:tblInd w:w="5" w:type="dxa"/>
        <w:tblCellMar>
          <w:top w:w="0" w:type="dxa"/>
          <w:left w:w="5" w:type="dxa"/>
          <w:bottom w:w="0" w:type="dxa"/>
          <w:right w:w="5" w:type="dxa"/>
        </w:tblCellMar>
        <w:tblLook w:val="0000" w:noVBand="0" w:noHBand="0" w:lastColumn="0" w:firstColumn="0" w:lastRow="0" w:firstRow="0"/>
      </w:tblPr>
      <w:tblGrid>
        <w:gridCol w:w="4903"/>
        <w:gridCol w:w="4635"/>
      </w:tblGrid>
      <w:tr>
        <w:trPr>
          <w:trHeight w:val="2698" w:hRule="atLeast"/>
        </w:trPr>
        <w:tc>
          <w:tcPr>
            <w:tcW w:w="4903" w:type="dxa"/>
            <w:tcBorders>
              <w:top w:val="single" w:sz="4" w:space="0" w:color="000000"/>
              <w:left w:val="single" w:sz="4" w:space="0" w:color="000000"/>
              <w:bottom w:val="single" w:sz="4" w:space="0" w:color="000000"/>
              <w:right w:val="single" w:sz="4" w:space="0" w:color="000000"/>
            </w:tcBorders>
            <w:shd w:color="auto" w:fill="FFFFFF" w:val="clear"/>
          </w:tcPr>
          <w:p>
            <w:pPr>
              <w:pStyle w:val="Style20"/>
              <w:shd w:val="clear" w:color="auto" w:fill="auto"/>
              <w:spacing w:lineRule="auto" w:line="240" w:before="0" w:after="0"/>
              <w:ind w:left="60" w:hanging="0"/>
              <w:jc w:val="left"/>
              <w:rPr/>
            </w:pPr>
            <w:r>
              <w:rPr>
                <w:rFonts w:ascii="Times New Roman" w:hAnsi="Times New Roman"/>
                <w:b/>
                <w:bCs/>
                <w:sz w:val="24"/>
                <w:szCs w:val="24"/>
                <w:lang w:val="ru-RU" w:eastAsia="uk-UA"/>
              </w:rPr>
              <w:t>ТОВ «Запоріжжяелектропостачання»</w:t>
            </w:r>
          </w:p>
          <w:p>
            <w:pPr>
              <w:pStyle w:val="Style20"/>
              <w:shd w:val="clear" w:color="auto" w:fill="auto"/>
              <w:spacing w:lineRule="auto" w:line="240" w:before="0" w:after="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0"/>
              <w:ind w:left="60" w:hanging="0"/>
              <w:jc w:val="left"/>
              <w:rPr>
                <w:rFonts w:ascii="Times New Roman" w:hAnsi="Times New Roman"/>
                <w:sz w:val="24"/>
                <w:szCs w:val="24"/>
                <w:lang w:val="ru-RU" w:eastAsia="uk-UA"/>
              </w:rPr>
            </w:pPr>
            <w:r>
              <w:rPr>
                <w:rFonts w:ascii="Times New Roman" w:hAnsi="Times New Roman"/>
                <w:sz w:val="24"/>
                <w:szCs w:val="24"/>
                <w:lang w:val="ru-RU" w:eastAsia="uk-UA"/>
              </w:rPr>
            </w:r>
          </w:p>
          <w:p>
            <w:pPr>
              <w:pStyle w:val="Style20"/>
              <w:shd w:val="clear" w:color="auto" w:fill="auto"/>
              <w:spacing w:lineRule="auto" w:line="240" w:before="0" w:after="0"/>
              <w:ind w:left="60" w:hanging="0"/>
              <w:jc w:val="left"/>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0"/>
              <w:ind w:left="60" w:hanging="0"/>
              <w:jc w:val="left"/>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0"/>
              <w:ind w:left="60" w:hanging="0"/>
              <w:jc w:val="left"/>
              <w:rPr>
                <w:rFonts w:ascii="Times New Roman" w:hAnsi="Times New Roman"/>
                <w:b/>
                <w:b/>
                <w:sz w:val="24"/>
                <w:szCs w:val="24"/>
                <w:lang w:val="ru-RU" w:eastAsia="en-US"/>
              </w:rPr>
            </w:pPr>
            <w:r>
              <w:rPr>
                <w:rFonts w:ascii="Times New Roman" w:hAnsi="Times New Roman"/>
                <w:b/>
                <w:sz w:val="24"/>
                <w:szCs w:val="24"/>
                <w:lang w:val="ru-RU" w:eastAsia="en-US"/>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pPr>
            <w:r>
              <w:rPr>
                <w:rFonts w:ascii="Times New Roman" w:hAnsi="Times New Roman"/>
                <w:spacing w:val="-3"/>
                <w:sz w:val="24"/>
                <w:szCs w:val="24"/>
              </w:rPr>
              <w:t>_________</w:t>
            </w:r>
            <w:r>
              <w:rPr>
                <w:rFonts w:ascii="Times New Roman" w:hAnsi="Times New Roman"/>
                <w:spacing w:val="-3"/>
                <w:sz w:val="24"/>
                <w:szCs w:val="24"/>
                <w:lang w:val="en-US"/>
              </w:rPr>
              <w:t>_____</w:t>
            </w:r>
            <w:r>
              <w:rPr>
                <w:rFonts w:ascii="Times New Roman" w:hAnsi="Times New Roman"/>
                <w:spacing w:val="-3"/>
                <w:sz w:val="24"/>
                <w:szCs w:val="24"/>
              </w:rPr>
              <w:t>_____</w:t>
            </w:r>
            <w:r>
              <w:rPr>
                <w:rFonts w:ascii="Times New Roman" w:hAnsi="Times New Roman"/>
                <w:sz w:val="24"/>
                <w:szCs w:val="24"/>
              </w:rPr>
              <w:t>__</w:t>
            </w:r>
            <w:r>
              <w:rPr>
                <w:rFonts w:ascii="Times New Roman" w:hAnsi="Times New Roman"/>
                <w:bCs/>
                <w:sz w:val="24"/>
                <w:szCs w:val="24"/>
              </w:rPr>
              <w:t xml:space="preserve"> </w:t>
            </w:r>
            <w:r>
              <w:rPr>
                <w:rFonts w:ascii="Times New Roman" w:hAnsi="Times New Roman"/>
                <w:sz w:val="24"/>
                <w:szCs w:val="24"/>
                <w:lang w:val="en-US" w:eastAsia="uk-UA"/>
              </w:rPr>
              <w:t>_________________</w:t>
            </w:r>
          </w:p>
          <w:p>
            <w:pPr>
              <w:pStyle w:val="Style20"/>
              <w:shd w:val="clear" w:color="auto" w:fill="auto"/>
              <w:spacing w:lineRule="auto" w:line="240" w:before="0" w:after="0"/>
              <w:jc w:val="left"/>
              <w:rPr>
                <w:rFonts w:ascii="Times New Roman" w:hAnsi="Times New Roman"/>
                <w:sz w:val="24"/>
                <w:szCs w:val="24"/>
                <w:lang w:val="ru-RU" w:eastAsia="en-US"/>
              </w:rPr>
            </w:pPr>
            <w:r>
              <w:rPr>
                <w:rFonts w:ascii="Times New Roman" w:hAnsi="Times New Roman"/>
                <w:sz w:val="24"/>
                <w:szCs w:val="24"/>
                <w:lang w:val="ru-RU" w:eastAsia="en-US"/>
              </w:rPr>
            </w:r>
          </w:p>
        </w:tc>
        <w:tc>
          <w:tcPr>
            <w:tcW w:w="4635" w:type="dxa"/>
            <w:tcBorders>
              <w:top w:val="single" w:sz="4" w:space="0" w:color="000000"/>
              <w:left w:val="single" w:sz="4" w:space="0" w:color="000000"/>
              <w:bottom w:val="single" w:sz="4" w:space="0" w:color="000000"/>
              <w:right w:val="single" w:sz="4" w:space="0" w:color="000000"/>
            </w:tcBorders>
            <w:shd w:color="auto" w:fill="FFFFFF" w:val="clear"/>
          </w:tcPr>
          <w:p>
            <w:pPr>
              <w:pStyle w:val="Style20"/>
              <w:shd w:val="clear" w:color="auto" w:fill="auto"/>
              <w:spacing w:lineRule="auto" w:line="240" w:before="0" w:after="0"/>
              <w:jc w:val="left"/>
              <w:rPr/>
            </w:pPr>
            <w:r>
              <w:rPr>
                <w:rFonts w:ascii="Times New Roman" w:hAnsi="Times New Roman"/>
                <w:sz w:val="24"/>
                <w:szCs w:val="24"/>
                <w:lang w:eastAsia="en-US"/>
              </w:rPr>
              <w:t>_____________________________________</w:t>
            </w:r>
          </w:p>
          <w:p>
            <w:pPr>
              <w:pStyle w:val="Style20"/>
              <w:shd w:val="clear" w:color="auto" w:fill="auto"/>
              <w:spacing w:lineRule="auto" w:line="240" w:before="0" w:after="0"/>
              <w:jc w:val="left"/>
              <w:rPr/>
            </w:pPr>
            <w:r>
              <w:rPr>
                <w:rFonts w:ascii="Times New Roman" w:hAnsi="Times New Roman"/>
                <w:sz w:val="24"/>
                <w:szCs w:val="24"/>
                <w:lang w:eastAsia="en-US"/>
              </w:rPr>
              <w:t>_____________________________________</w:t>
            </w:r>
          </w:p>
          <w:p>
            <w:pPr>
              <w:pStyle w:val="Style20"/>
              <w:shd w:val="clear" w:color="auto" w:fill="auto"/>
              <w:spacing w:lineRule="auto" w:line="240" w:before="0" w:after="0"/>
              <w:jc w:val="left"/>
              <w:rPr/>
            </w:pPr>
            <w:r>
              <w:rPr>
                <w:rFonts w:ascii="Times New Roman" w:hAnsi="Times New Roman"/>
                <w:sz w:val="24"/>
                <w:szCs w:val="24"/>
                <w:lang w:eastAsia="en-US"/>
              </w:rPr>
              <w:t>_____________________________________</w:t>
            </w:r>
          </w:p>
          <w:p>
            <w:pPr>
              <w:pStyle w:val="Style20"/>
              <w:shd w:val="clear" w:color="auto" w:fill="auto"/>
              <w:spacing w:lineRule="auto" w:line="240" w:before="0" w:after="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0"/>
              <w:ind w:left="60" w:hanging="0"/>
              <w:jc w:val="left"/>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0"/>
              <w:ind w:left="60" w:hanging="0"/>
              <w:jc w:val="left"/>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pacing w:val="-3"/>
                <w:sz w:val="24"/>
                <w:szCs w:val="24"/>
              </w:rPr>
              <w:t>_________</w:t>
            </w:r>
            <w:r>
              <w:rPr>
                <w:rFonts w:ascii="Times New Roman" w:hAnsi="Times New Roman"/>
                <w:spacing w:val="-3"/>
                <w:sz w:val="24"/>
                <w:szCs w:val="24"/>
                <w:lang w:val="en-US"/>
              </w:rPr>
              <w:t>_____</w:t>
            </w:r>
            <w:r>
              <w:rPr>
                <w:rFonts w:ascii="Times New Roman" w:hAnsi="Times New Roman"/>
                <w:spacing w:val="-3"/>
                <w:sz w:val="24"/>
                <w:szCs w:val="24"/>
              </w:rPr>
              <w:t>_____</w:t>
            </w:r>
            <w:r>
              <w:rPr>
                <w:rFonts w:ascii="Times New Roman" w:hAnsi="Times New Roman"/>
                <w:sz w:val="24"/>
                <w:szCs w:val="24"/>
              </w:rPr>
              <w:t>__</w:t>
            </w:r>
            <w:r>
              <w:rPr>
                <w:rFonts w:ascii="Times New Roman" w:hAnsi="Times New Roman"/>
                <w:bCs/>
                <w:sz w:val="24"/>
                <w:szCs w:val="24"/>
              </w:rPr>
              <w:t xml:space="preserve"> </w:t>
            </w:r>
            <w:r>
              <w:rPr>
                <w:rFonts w:ascii="Times New Roman" w:hAnsi="Times New Roman"/>
                <w:sz w:val="24"/>
                <w:szCs w:val="24"/>
                <w:lang w:val="en-US" w:eastAsia="uk-UA"/>
              </w:rPr>
              <w:t>_________________</w:t>
            </w:r>
          </w:p>
          <w:p>
            <w:pPr>
              <w:pStyle w:val="Style20"/>
              <w:shd w:val="clear" w:color="auto" w:fill="auto"/>
              <w:spacing w:lineRule="auto" w:line="240" w:before="0" w:after="0"/>
              <w:ind w:left="60" w:hanging="0"/>
              <w:jc w:val="left"/>
              <w:rPr>
                <w:rFonts w:ascii="Times New Roman" w:hAnsi="Times New Roman"/>
                <w:b/>
                <w:b/>
                <w:sz w:val="24"/>
                <w:szCs w:val="24"/>
                <w:lang w:val="ru-RU"/>
              </w:rPr>
            </w:pPr>
            <w:r>
              <w:rPr>
                <w:rFonts w:ascii="Times New Roman" w:hAnsi="Times New Roman"/>
                <w:b/>
                <w:sz w:val="24"/>
                <w:szCs w:val="24"/>
                <w:lang w:val="ru-RU"/>
              </w:rPr>
            </w:r>
          </w:p>
        </w:tc>
      </w:tr>
    </w:tbl>
    <w:p>
      <w:pPr>
        <w:pStyle w:val="Normal"/>
        <w:spacing w:lineRule="auto" w:line="240" w:before="0" w:after="0"/>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534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qFormat/>
    <w:rsid w:val="00a13793"/>
    <w:rPr>
      <w:rFonts w:cs="Times New Roman"/>
      <w:sz w:val="16"/>
      <w:szCs w:val="16"/>
    </w:rPr>
  </w:style>
  <w:style w:type="character" w:styleId="Style14" w:customStyle="1">
    <w:name w:val="Текст примечания Знак"/>
    <w:link w:val="a6"/>
    <w:uiPriority w:val="99"/>
    <w:semiHidden/>
    <w:qFormat/>
    <w:locked/>
    <w:rsid w:val="00a13793"/>
    <w:rPr>
      <w:rFonts w:cs="Times New Roman"/>
      <w:sz w:val="20"/>
      <w:szCs w:val="20"/>
    </w:rPr>
  </w:style>
  <w:style w:type="character" w:styleId="Style15" w:customStyle="1">
    <w:name w:val="Тема примечания Знак"/>
    <w:link w:val="a8"/>
    <w:uiPriority w:val="99"/>
    <w:semiHidden/>
    <w:qFormat/>
    <w:locked/>
    <w:rsid w:val="00a13793"/>
    <w:rPr>
      <w:rFonts w:cs="Times New Roman"/>
      <w:b/>
      <w:bCs/>
      <w:sz w:val="20"/>
      <w:szCs w:val="20"/>
    </w:rPr>
  </w:style>
  <w:style w:type="character" w:styleId="Style16" w:customStyle="1">
    <w:name w:val="Текст выноски Знак"/>
    <w:link w:val="aa"/>
    <w:uiPriority w:val="99"/>
    <w:semiHidden/>
    <w:qFormat/>
    <w:locked/>
    <w:rsid w:val="00a13793"/>
    <w:rPr>
      <w:rFonts w:ascii="Tahoma" w:hAnsi="Tahoma" w:cs="Tahoma"/>
      <w:sz w:val="16"/>
      <w:szCs w:val="16"/>
    </w:rPr>
  </w:style>
  <w:style w:type="character" w:styleId="BodyTextChar1" w:customStyle="1">
    <w:name w:val="Body Text Char1"/>
    <w:uiPriority w:val="99"/>
    <w:qFormat/>
    <w:locked/>
    <w:rsid w:val="00bc6995"/>
    <w:rPr>
      <w:sz w:val="23"/>
    </w:rPr>
  </w:style>
  <w:style w:type="character" w:styleId="Style17" w:customStyle="1">
    <w:name w:val="Основной текст Знак"/>
    <w:link w:val="ae"/>
    <w:uiPriority w:val="99"/>
    <w:semiHidden/>
    <w:qFormat/>
    <w:locked/>
    <w:rsid w:val="007f25fc"/>
    <w:rPr>
      <w:rFonts w:cs="Times New Roman"/>
      <w:lang w:val="ru-RU"/>
    </w:rPr>
  </w:style>
  <w:style w:type="character" w:styleId="Style18">
    <w:name w:val="Интернет-ссылка"/>
    <w:uiPriority w:val="99"/>
    <w:rsid w:val="00ca5f58"/>
    <w:rPr>
      <w:rFonts w:cs="Times New Roman"/>
      <w:color w:val="648BCB"/>
      <w:u w:val="single"/>
    </w:rPr>
  </w:style>
  <w:style w:type="character" w:styleId="2" w:customStyle="1">
    <w:name w:val="Основной текст (2)_"/>
    <w:link w:val="20"/>
    <w:uiPriority w:val="99"/>
    <w:qFormat/>
    <w:locked/>
    <w:rsid w:val="00ca5f58"/>
    <w:rPr>
      <w:rFonts w:cs="Mangal"/>
      <w:b/>
      <w:bCs/>
      <w:sz w:val="23"/>
      <w:szCs w:val="23"/>
      <w:lang w:bidi="hi-IN"/>
    </w:rPr>
  </w:style>
  <w:style w:type="character" w:styleId="21" w:customStyle="1">
    <w:name w:val="Основной текст (2) + Не полужирный"/>
    <w:uiPriority w:val="99"/>
    <w:qFormat/>
    <w:rsid w:val="00ca5f58"/>
    <w:rPr>
      <w:rFonts w:cs="Mangal"/>
      <w:b/>
      <w:bCs/>
      <w:sz w:val="23"/>
      <w:szCs w:val="23"/>
      <w:lang w:bidi="hi-IN"/>
    </w:rPr>
  </w:style>
  <w:style w:type="character" w:styleId="ListLabel1">
    <w:name w:val="ListLabel 1"/>
    <w:qFormat/>
    <w:rPr>
      <w:rFonts w:eastAsia="Times New Roman"/>
      <w:color w:val="auto"/>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eastAsia="Times New Roman"/>
    </w:rPr>
  </w:style>
  <w:style w:type="character" w:styleId="ListLabel14">
    <w:name w:val="ListLabel 14"/>
    <w:qFormat/>
    <w:rPr>
      <w:rFonts w:eastAsia="Times New Roman"/>
      <w:color w:val="auto"/>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4">
    <w:name w:val="ListLabel 24"/>
    <w:qFormat/>
    <w:rPr>
      <w:rFonts w:ascii="Times New Roman" w:hAnsi="Times New Roman" w:cs="Symbol"/>
      <w:sz w:val="24"/>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ascii="Times New Roman" w:hAnsi="Times New Roman" w:cs="Symbol"/>
      <w:sz w:val="24"/>
    </w:rPr>
  </w:style>
  <w:style w:type="character" w:styleId="ListLabel28">
    <w:name w:val="ListLabel 28"/>
    <w:qFormat/>
    <w:rPr>
      <w:rFonts w:ascii="Times New Roman" w:hAnsi="Times New Roman" w:cs="Symbol"/>
      <w:sz w:val="24"/>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ascii="Times New Roman" w:hAnsi="Times New Roman" w:cs="Symbol"/>
      <w:sz w:val="24"/>
    </w:rPr>
  </w:style>
  <w:style w:type="character" w:styleId="21pt">
    <w:name w:val="Основной текст (2) + Интервал 1 pt"/>
    <w:qFormat/>
    <w:rPr>
      <w:rFonts w:ascii="Times New Roman" w:hAnsi="Times New Roman" w:cs="Times New Roman"/>
      <w:spacing w:val="20"/>
      <w:shd w:fill="FFFFFF" w:val="clear"/>
    </w:rPr>
  </w:style>
  <w:style w:type="character" w:styleId="ListLabel32">
    <w:name w:val="ListLabel 32"/>
    <w:qFormat/>
    <w:rPr>
      <w:rFonts w:ascii="Times New Roman" w:hAnsi="Times New Roman" w:cs="Symbol"/>
      <w:sz w:val="24"/>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ascii="Times New Roman" w:hAnsi="Times New Roman" w:cs="Symbol"/>
      <w:sz w:val="24"/>
    </w:rPr>
  </w:style>
  <w:style w:type="character" w:styleId="ListLabel36">
    <w:name w:val="ListLabel 36"/>
    <w:qFormat/>
    <w:rPr>
      <w:rFonts w:ascii="Times New Roman" w:hAnsi="Times New Roman"/>
      <w:color w:val="000000"/>
      <w:sz w:val="24"/>
      <w:szCs w:val="24"/>
    </w:rPr>
  </w:style>
  <w:style w:type="character" w:styleId="ListLabel37">
    <w:name w:val="ListLabel 37"/>
    <w:qFormat/>
    <w:rPr>
      <w:rFonts w:ascii="Times New Roman" w:hAnsi="Times New Roman" w:cs="Symbol"/>
      <w:sz w:val="24"/>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Times New Roman" w:hAnsi="Times New Roman" w:cs="Symbol"/>
      <w:sz w:val="24"/>
    </w:rPr>
  </w:style>
  <w:style w:type="character" w:styleId="ListLabel41">
    <w:name w:val="ListLabel 41"/>
    <w:qFormat/>
    <w:rPr>
      <w:rFonts w:ascii="Times New Roman" w:hAnsi="Times New Roman"/>
      <w:color w:val="000000"/>
      <w:sz w:val="24"/>
      <w:szCs w:val="24"/>
    </w:rPr>
  </w:style>
  <w:style w:type="character" w:styleId="ListLabel42">
    <w:name w:val="ListLabel 42"/>
    <w:qFormat/>
    <w:rPr>
      <w:rFonts w:ascii="Times New Roman" w:hAnsi="Times New Roman" w:cs="Symbol"/>
      <w:sz w:val="24"/>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ascii="Times New Roman" w:hAnsi="Times New Roman" w:cs="Symbol"/>
      <w:sz w:val="24"/>
    </w:rPr>
  </w:style>
  <w:style w:type="character" w:styleId="ListLabel46">
    <w:name w:val="ListLabel 46"/>
    <w:qFormat/>
    <w:rPr>
      <w:rFonts w:ascii="Times New Roman" w:hAnsi="Times New Roman"/>
      <w:color w:val="000000"/>
      <w:sz w:val="24"/>
      <w:szCs w:val="24"/>
    </w:rPr>
  </w:style>
  <w:style w:type="character" w:styleId="ListLabel47">
    <w:name w:val="ListLabel 47"/>
    <w:qFormat/>
    <w:rPr>
      <w:rFonts w:ascii="Times New Roman" w:hAnsi="Times New Roman" w:cs="Symbol"/>
      <w:sz w:val="24"/>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ascii="Times New Roman" w:hAnsi="Times New Roman" w:cs="Symbol"/>
      <w:sz w:val="24"/>
    </w:rPr>
  </w:style>
  <w:style w:type="character" w:styleId="ListLabel51">
    <w:name w:val="ListLabel 51"/>
    <w:qFormat/>
    <w:rPr>
      <w:rFonts w:ascii="Times New Roman" w:hAnsi="Times New Roman"/>
      <w:color w:val="000000"/>
      <w:sz w:val="24"/>
      <w:szCs w:val="24"/>
    </w:rPr>
  </w:style>
  <w:style w:type="character" w:styleId="ListLabel52">
    <w:name w:val="ListLabel 52"/>
    <w:qFormat/>
    <w:rPr>
      <w:rFonts w:ascii="Times New Roman" w:hAnsi="Times New Roman" w:cs="Symbol"/>
      <w:sz w:val="24"/>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ascii="Times New Roman" w:hAnsi="Times New Roman" w:cs="Symbol"/>
      <w:sz w:val="24"/>
    </w:rPr>
  </w:style>
  <w:style w:type="character" w:styleId="ListLabel56">
    <w:name w:val="ListLabel 56"/>
    <w:qFormat/>
    <w:rPr>
      <w:rFonts w:ascii="Times New Roman" w:hAnsi="Times New Roman"/>
      <w:color w:val="000000"/>
      <w:sz w:val="24"/>
      <w:szCs w:val="24"/>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f"/>
    <w:uiPriority w:val="99"/>
    <w:rsid w:val="00bc6995"/>
    <w:pPr>
      <w:shd w:val="clear" w:color="auto" w:fill="FFFFFF"/>
      <w:spacing w:lineRule="exact" w:line="264" w:before="480" w:after="0"/>
      <w:jc w:val="both"/>
    </w:pPr>
    <w:rPr>
      <w:rFonts w:cs="Mangal"/>
      <w:sz w:val="23"/>
      <w:szCs w:val="23"/>
      <w:lang w:val="en-US" w:eastAsia="ru-RU" w:bidi="hi-IN"/>
    </w:rPr>
  </w:style>
  <w:style w:type="paragraph" w:styleId="Style21">
    <w:name w:val="List"/>
    <w:basedOn w:val="Style20"/>
    <w:pPr>
      <w:shd w:val="clear" w:fill="FFFFFF"/>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NormalWeb">
    <w:name w:val="Normal (Web)"/>
    <w:basedOn w:val="Normal"/>
    <w:uiPriority w:val="99"/>
    <w:qFormat/>
    <w:rsid w:val="001514fe"/>
    <w:pPr>
      <w:spacing w:lineRule="auto" w:line="240" w:beforeAutospacing="1" w:afterAutospacing="1"/>
    </w:pPr>
    <w:rPr>
      <w:rFonts w:ascii="Times New Roman" w:hAnsi="Times New Roman" w:eastAsia="Times New Roman"/>
      <w:sz w:val="24"/>
      <w:szCs w:val="24"/>
      <w:lang w:eastAsia="ru-RU"/>
    </w:rPr>
  </w:style>
  <w:style w:type="paragraph" w:styleId="Annotationtext">
    <w:name w:val="annotation text"/>
    <w:basedOn w:val="Normal"/>
    <w:link w:val="a7"/>
    <w:uiPriority w:val="99"/>
    <w:semiHidden/>
    <w:qFormat/>
    <w:rsid w:val="00a13793"/>
    <w:pPr>
      <w:spacing w:lineRule="auto" w:line="240"/>
    </w:pPr>
    <w:rPr>
      <w:sz w:val="20"/>
      <w:szCs w:val="20"/>
    </w:rPr>
  </w:style>
  <w:style w:type="paragraph" w:styleId="Annotationsubject">
    <w:name w:val="annotation subject"/>
    <w:basedOn w:val="Annotationtext"/>
    <w:link w:val="a9"/>
    <w:uiPriority w:val="99"/>
    <w:semiHidden/>
    <w:qFormat/>
    <w:rsid w:val="00a13793"/>
    <w:pPr/>
    <w:rPr>
      <w:b/>
      <w:bCs/>
    </w:rPr>
  </w:style>
  <w:style w:type="paragraph" w:styleId="BalloonText">
    <w:name w:val="Balloon Text"/>
    <w:basedOn w:val="Normal"/>
    <w:link w:val="ab"/>
    <w:uiPriority w:val="99"/>
    <w:semiHidden/>
    <w:qFormat/>
    <w:rsid w:val="00a13793"/>
    <w:pPr>
      <w:spacing w:lineRule="auto" w:line="240" w:before="0" w:after="0"/>
    </w:pPr>
    <w:rPr>
      <w:rFonts w:ascii="Tahoma" w:hAnsi="Tahoma" w:cs="Tahoma"/>
      <w:sz w:val="16"/>
      <w:szCs w:val="16"/>
    </w:rPr>
  </w:style>
  <w:style w:type="paragraph" w:styleId="NoSpacing">
    <w:name w:val="No Spacing"/>
    <w:uiPriority w:val="99"/>
    <w:qFormat/>
    <w:rsid w:val="000967b3"/>
    <w:pPr>
      <w:widowControl/>
      <w:bidi w:val="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uiPriority w:val="99"/>
    <w:qFormat/>
    <w:rsid w:val="000f60e3"/>
    <w:pPr>
      <w:spacing w:before="0" w:after="200"/>
      <w:ind w:left="720" w:hanging="0"/>
      <w:contextualSpacing/>
    </w:pPr>
    <w:rPr/>
  </w:style>
  <w:style w:type="paragraph" w:styleId="22" w:customStyle="1">
    <w:name w:val="Основной текст (2)"/>
    <w:basedOn w:val="Normal"/>
    <w:link w:val="2"/>
    <w:uiPriority w:val="99"/>
    <w:qFormat/>
    <w:rsid w:val="00ca5f58"/>
    <w:pPr>
      <w:shd w:val="clear" w:color="auto" w:fill="FFFFFF"/>
      <w:spacing w:lineRule="atLeast" w:line="240" w:before="60" w:after="180"/>
    </w:pPr>
    <w:rPr>
      <w:rFonts w:ascii="Times New Roman" w:hAnsi="Times New Roman" w:cs="Mangal"/>
      <w:b/>
      <w:bCs/>
      <w:sz w:val="23"/>
      <w:szCs w:val="23"/>
      <w:lang w:val="en-US" w:bidi="hi-IN"/>
    </w:rPr>
  </w:style>
  <w:style w:type="paragraph" w:styleId="11">
    <w:name w:val="Подзаголовок11"/>
    <w:basedOn w:val="Normal"/>
    <w:qFormat/>
    <w:pPr>
      <w:jc w:val="center"/>
    </w:pPr>
    <w:rPr>
      <w:rFonts w:eastAsia="Calibri"/>
      <w:szCs w:val="20"/>
      <w:lang w:val="uk-UA"/>
    </w:rPr>
  </w:style>
  <w:style w:type="paragraph" w:styleId="211">
    <w:name w:val="Основной текст (2)1"/>
    <w:basedOn w:val="Normal"/>
    <w:qFormat/>
    <w:pPr>
      <w:widowControl w:val="false"/>
      <w:shd w:val="clear" w:fill="FFFFFF"/>
      <w:spacing w:lineRule="exact" w:line="226"/>
      <w:ind w:hanging="360"/>
      <w:jc w:val="both"/>
    </w:pPr>
    <w:rPr>
      <w:spacing w:val="10"/>
      <w:sz w:val="20"/>
      <w:szCs w:val="20"/>
      <w:shd w:fill="FFFFFF" w:val="clear"/>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8263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Application>LibreOffice/6.2.8.2$Linux_X86_64 LibreOffice_project/20$Build-2</Application>
  <Pages>5</Pages>
  <Words>1506</Words>
  <Characters>10888</Characters>
  <CharactersWithSpaces>12327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2018-12-14T05:33:00Z</dcterms:created>
  <dc:creator>Nigmatullina Tatyana</dc:creator>
  <dc:description/>
  <dc:language>ru-RU</dc:language>
  <cp:lastModifiedBy/>
  <cp:lastPrinted>2020-05-06T08:58:27Z</cp:lastPrinted>
  <dcterms:modified xsi:type="dcterms:W3CDTF">2023-09-12T13:29:41Z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